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09" w:rsidRDefault="00C66737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Прокуратура </w:t>
      </w:r>
      <w:proofErr w:type="spellStart"/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Мокшанского</w:t>
      </w:r>
      <w:proofErr w:type="spellEnd"/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района разъясняет:</w:t>
      </w:r>
      <w:bookmarkStart w:id="0" w:name="_GoBack"/>
      <w:bookmarkEnd w:id="0"/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>Экстремистские идеологии и террористическая деятельность являются в современном мире глобальными угрозами первостепенной значимости. При этом с полным правом можно сказать, что Российская Федерация является лидером в борьбе с международным терроризмом и экстремизмом. В то же время вполне очевидно, что если бы эффективное противодействие этим угрозам было уже налажено должным образом, то не пришлось бы и говорить о их наличии. Пресечение деятельности террористических организаций по линии спецслужб имеет серьезные успехи, но вот в профилактике экстремистских проявлений, особенно в противодействии распространению экстремистских идеологий, до сих пор остается много нерешенных задач. Между тем современные информационные технологии в полной мере используются адептами экстремистских идей для пропаганды своих взглядов и привлечения новых сторонников, таким образом актуальность выстраивания системы противодействия идеологии экстремизма определена для нас самой жизнью.</w:t>
      </w: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>Говоря о преступной сущности обсуждаемых явлений, специалисты дают следующие определения:</w:t>
      </w: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1. Экстремизм (от лат. </w:t>
      </w:r>
      <w:proofErr w:type="spellStart"/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>extremus</w:t>
      </w:r>
      <w:proofErr w:type="spellEnd"/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— крайний) — это приверженность к крайностям во взглядах, оценках и позициях, к крайним средствам достижения поставленных целей в деятельности как отдельных лиц, так и социальных групп, связанных национальными, политическими, религиозными или иными идеями.</w:t>
      </w: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2. Терроризм (от лат. </w:t>
      </w:r>
      <w:proofErr w:type="spellStart"/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>terror</w:t>
      </w:r>
      <w:proofErr w:type="spellEnd"/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— страх ужас) — это особая форма проявления экстремизма, предполагающая использование запугивания общества, создание в общественном сознании атмосферы страха для достижения каких-либо целей (обычно политического характера). Данное явление представляет серьезную угрозу стабильности общества и государства.</w:t>
      </w: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>За последнее десятилетие в нашей стране создана обширная законодательная база для противодействия террористической и экстремистской деятельности, а также накоплен богатый практический опыт в этой сфере. Говоря об этой законодательной базе, следует прежде всего указать на Конституцию Российской Федерации, а также на общепризнанные принципы и нормы международного права, международные договоры Российской Федерации, федеральные конституционные законы, кроме того, специально и более предметно эти вопросы регламентируются федеральными законами «О противодействии экстремистской деятельности» и «О противодействии терроризму», Стратегией национальной безопасности Российской Федерации до 2020 года, Концепция противодействия терроризму в Российской Федераци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и</w:t>
      </w:r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>, Стратегией противодействия экстремизму в Российской Федерации до 2025 года, указом президента «О мерах по противодействию терроризму», а также другими нормативными правовыми актами Российской Федерации.</w:t>
      </w: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lastRenderedPageBreak/>
        <w:t>Согласно Стратегии национальной безопасности Российской Федерации, противодействие угрозам экстремистского и террористического характера относится к числу важнейших приоритетов обеспечения государственной и общественной безопасности, и немалая роль при этом отводится совершенствованию правовой базы. Именно в связи с этим не так давно приняты дополнительные меры по противодействию терроризму. Так, в 2016 г. расширен перечень составов преступлений, ответственность за совершение которых наступает с 14 лет (новая редакция ст. 20 УК РФ), а также внесены поправки в Уголовно-процессуальный кодекс Российской Федерации. Однако, как было сказано выше, большое значение имеет профилактика преступных действий террористического характера и противодействие экстремистской идеологии. В Стратегии противодействия экстремизму в Российской Федерации до 2025 г. это понятие определено следующим образом: «..."идеология экстремизма (экстремистская идеология)" — система взглядов и идей, представляющих насильственные и иные противоправные действия как основное средство разрешения социальных, расовых, национальных, религиозных и политических конфликтов».</w:t>
      </w: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>Первостепенная значимость идеологического аспекта подчеркивается и в Концепции противодействия терроризму в Российской Федерации: первым направлением противодействия терроризму названо его предупреждение (профилактика) (ст. 12), а первым направлением профилактики — идеологическое противодействие (ст. 13).</w:t>
      </w: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000000"/>
          <w:sz w:val="28"/>
          <w:szCs w:val="28"/>
        </w:rPr>
        <w:t>Главной целью системы противодействия экстремистским идеологиям является снижение уровня вовлечения в террористическую деятельность различных групп населения, в основном молодежи. Очевидно, что в силу возрастных особенностей психики и еще не полной сформированности социальных статусов молодые люди представляют собой удобный объект для применения манипулятивных технологий обработки сознания. Важным фактором, облегчающим вербовку молодежи, является ее глубокая вовлеченность в потребление информации через современные коммуникационные технологии, включая Интернет и социальные сети. Анонимность и использование псевдонимов, широкое применение технологий трансляции информации через множество формально друг с другом не связанных аккаунтов, — существенные черты современного интернет-пространства. Эти технические возможности открывают небывалые перспективы для воздействия на сознание как вербальным, так и невербальным образом. При этом, как и всегда, разрушительная деятельности имеет гораздо более быстрый успех, чем созидательная.</w:t>
      </w:r>
    </w:p>
    <w:p w:rsid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 xml:space="preserve">В наше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lastRenderedPageBreak/>
        <w:t>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появляться различные оппозиционные группы, пытающиеся добиться желаемого для них результата через экстремизм и терроризм.</w:t>
      </w:r>
      <w:r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 xml:space="preserve"> 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i/>
          <w:color w:val="15191E"/>
          <w:sz w:val="28"/>
          <w:szCs w:val="28"/>
        </w:rPr>
        <w:t>Экстремизм:</w:t>
      </w:r>
    </w:p>
    <w:p w:rsidR="00A12621" w:rsidRPr="00F5479D" w:rsidRDefault="00F5479D" w:rsidP="00F5479D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публичное оправдание терроризма и иная террористическая деятельность;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A12621" w:rsidRPr="00F5479D" w:rsidRDefault="00F5479D" w:rsidP="00F5479D">
      <w:pPr>
        <w:pStyle w:val="af9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возбуждение социальной, расовой, национальной или религиозной розни;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A12621" w:rsidRPr="00F5479D" w:rsidRDefault="00F5479D" w:rsidP="00F5479D">
      <w:pPr>
        <w:pStyle w:val="af9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A12621" w:rsidRPr="00F5479D" w:rsidRDefault="00F5479D" w:rsidP="00F5479D">
      <w:pPr>
        <w:pStyle w:val="af9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A12621" w:rsidRPr="00F5479D" w:rsidRDefault="00F5479D" w:rsidP="00F5479D">
      <w:pPr>
        <w:pStyle w:val="af9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A12621" w:rsidRPr="00F5479D" w:rsidRDefault="00F5479D" w:rsidP="00F5479D">
      <w:pPr>
        <w:pStyle w:val="af9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A12621" w:rsidRPr="00F5479D" w:rsidRDefault="00F5479D" w:rsidP="00F5479D">
      <w:pPr>
        <w:pStyle w:val="af9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совершение преступлений по мотивам, указанным в пункте "е" части первой статьи 63 Уголовного кодекса Российской Федерации;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A12621" w:rsidRPr="00F5479D" w:rsidRDefault="00F5479D" w:rsidP="00F5479D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A12621" w:rsidRPr="00F5479D" w:rsidRDefault="00F5479D" w:rsidP="00F5479D">
      <w:pPr>
        <w:pStyle w:val="af9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 xml:space="preserve">публичные призывы к осуществлению указанных деяний либо массовое распространение заведомо экстремистских материалов, а равно их 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lastRenderedPageBreak/>
        <w:t>изготовление или хранение в целях массового распространения;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A12621" w:rsidRPr="00F5479D" w:rsidRDefault="00F5479D" w:rsidP="00F5479D">
      <w:pPr>
        <w:pStyle w:val="af9"/>
        <w:numPr>
          <w:ilvl w:val="0"/>
          <w:numId w:val="1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 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5C22C5" w:rsidRPr="005C22C5" w:rsidRDefault="00F5479D" w:rsidP="00F5479D">
      <w:pPr>
        <w:pStyle w:val="af9"/>
        <w:numPr>
          <w:ilvl w:val="0"/>
          <w:numId w:val="1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организация и подготовка указанных деяний, а также подстрекательство к их осуществлению; </w:t>
      </w:r>
    </w:p>
    <w:p w:rsidR="00A12621" w:rsidRPr="00F5479D" w:rsidRDefault="00A12621" w:rsidP="005C22C5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12621" w:rsidRPr="00F5479D" w:rsidRDefault="00F5479D" w:rsidP="00F5479D">
      <w:pPr>
        <w:pStyle w:val="af9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</w:rPr>
        <w:br/>
      </w:r>
    </w:p>
    <w:p w:rsidR="005C22C5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</w:pPr>
      <w:proofErr w:type="gramStart"/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конфессиями (религиозный экстремизм).</w:t>
      </w:r>
      <w:proofErr w:type="gramEnd"/>
    </w:p>
    <w:p w:rsidR="005C22C5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  <w:t>Мотивация правонарушителей существенно отличается от мотивации законопослушных граждан. Мотивацию преступного поведения в экстремистских организациях разделяют на личную и групповую. Нахождение в группе способствует возникновению определенных мотивов поведения, постановке новых целей и уходу от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  <w:t>В 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  <w:t>Законом «О противодействии экстремистской деятельности» определено понятие экстремистской организации - это общественное или религиозное объединение либо иная организация, в отношении которых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  <w:t xml:space="preserve">Политическая практика экстремизма находит выражение в различных 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lastRenderedPageBreak/>
        <w:t>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r w:rsidRPr="00F5479D">
        <w:rPr>
          <w:rFonts w:ascii="Times New Roman" w:eastAsia="Liberation Sans" w:hAnsi="Times New Roman" w:cs="Times New Roman"/>
          <w:i/>
          <w:color w:val="15191E"/>
          <w:sz w:val="28"/>
          <w:szCs w:val="28"/>
          <w:highlight w:val="white"/>
        </w:rPr>
        <w:t>Терроризм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> 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</w:r>
      <w:proofErr w:type="gramStart"/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>.</w:t>
      </w:r>
      <w:proofErr w:type="gramEnd"/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proofErr w:type="gramStart"/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>н</w:t>
      </w:r>
      <w:proofErr w:type="gramEnd"/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>асильственное изменение основ конституционного строя и нарушение целостности Российской Федерации;</w:t>
      </w:r>
    </w:p>
    <w:p w:rsidR="00A12621" w:rsidRPr="00F5479D" w:rsidRDefault="00A12621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22C5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>Терроризм -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  <w:t>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цели.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  <w:t>Терроризм включает несколько взаимосвязанных элементов: идеологию терроризма (теории, концепции, идейно-политические платформы); террористические структуры (международные и национальные террористические организации, экстремистские - правые и левые, националистические, религиозные и другие общественные организации, структуры организованной преступности и т.п.), а также собственно террористическую практику (террористическую деятельность).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</w:r>
      <w:proofErr w:type="gramStart"/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t>Уголовный кодекс Российской Федерации предусматривает ответственность за терроризм, -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свершения указанных действий в тех же целях.</w:t>
      </w:r>
      <w:proofErr w:type="gramEnd"/>
    </w:p>
    <w:p w:rsidR="005C22C5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  <w:t xml:space="preserve">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оперативно-розыскных, правовых, специальных и иных мер, направленных на предупреждение, выявление, пресечение террористической деятельности, </w:t>
      </w: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lastRenderedPageBreak/>
        <w:t>минимизацию ее последствий, установление и устранение способствующих ей причин и условий.</w:t>
      </w:r>
    </w:p>
    <w:p w:rsidR="00A12621" w:rsidRPr="00F5479D" w:rsidRDefault="00F5479D" w:rsidP="00F547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851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F5479D">
        <w:rPr>
          <w:rFonts w:ascii="Times New Roman" w:eastAsia="Liberation Sans" w:hAnsi="Times New Roman" w:cs="Times New Roman"/>
          <w:color w:val="15191E"/>
          <w:sz w:val="28"/>
          <w:szCs w:val="28"/>
          <w:highlight w:val="white"/>
        </w:rPr>
        <w:br/>
        <w:t>Профилактика экстремизма и терроризма - это не только задача государства, но и задача представителей гражданского общества. 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потенциала.</w:t>
      </w:r>
    </w:p>
    <w:p w:rsidR="00A12621" w:rsidRPr="00F5479D" w:rsidRDefault="00A12621" w:rsidP="00F547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12621" w:rsidRPr="00F5479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140" w:rsidRDefault="00A17140">
      <w:pPr>
        <w:spacing w:after="0" w:line="240" w:lineRule="auto"/>
      </w:pPr>
      <w:r>
        <w:separator/>
      </w:r>
    </w:p>
  </w:endnote>
  <w:endnote w:type="continuationSeparator" w:id="0">
    <w:p w:rsidR="00A17140" w:rsidRDefault="00A1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140" w:rsidRDefault="00A17140">
      <w:pPr>
        <w:spacing w:after="0" w:line="240" w:lineRule="auto"/>
      </w:pPr>
      <w:r>
        <w:separator/>
      </w:r>
    </w:p>
  </w:footnote>
  <w:footnote w:type="continuationSeparator" w:id="0">
    <w:p w:rsidR="00A17140" w:rsidRDefault="00A1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919"/>
    <w:multiLevelType w:val="hybridMultilevel"/>
    <w:tmpl w:val="2228A6C2"/>
    <w:lvl w:ilvl="0" w:tplc="E2509C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74CC199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DC263F4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F65848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FF24D6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ECFE4BA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AEF20F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C19630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DC3437C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1">
    <w:nsid w:val="0CB81CF6"/>
    <w:multiLevelType w:val="hybridMultilevel"/>
    <w:tmpl w:val="9FBED7BE"/>
    <w:lvl w:ilvl="0" w:tplc="287C77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CB3A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D1DC873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494C4E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B470AD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73CA7F0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A73422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F42AAB9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DA0CBEB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2">
    <w:nsid w:val="0EF87F9A"/>
    <w:multiLevelType w:val="hybridMultilevel"/>
    <w:tmpl w:val="F5C8B0EA"/>
    <w:lvl w:ilvl="0" w:tplc="84CC05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D0C8485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6FA47C9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09AC5A1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087A96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3D647A3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B136EB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880EE0D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923E023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3">
    <w:nsid w:val="1AC66569"/>
    <w:multiLevelType w:val="hybridMultilevel"/>
    <w:tmpl w:val="5516ADA4"/>
    <w:lvl w:ilvl="0" w:tplc="DCE831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C99AC8E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1C08A33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D04217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D70EAB5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69AED24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3384CB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CCEAC3E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A2062D9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4">
    <w:nsid w:val="2B35566F"/>
    <w:multiLevelType w:val="hybridMultilevel"/>
    <w:tmpl w:val="5A24A65E"/>
    <w:lvl w:ilvl="0" w:tplc="1676EB1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FD5C7AF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F594F01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D368E57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87483A8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A9A4968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142678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719A9A3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0F7A090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5">
    <w:nsid w:val="2E313B84"/>
    <w:multiLevelType w:val="hybridMultilevel"/>
    <w:tmpl w:val="DE866326"/>
    <w:lvl w:ilvl="0" w:tplc="289094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44B8D75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44C8FD1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46AA36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911EBBC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0B7873F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3C84E3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520609B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1742C56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6">
    <w:nsid w:val="331D15D1"/>
    <w:multiLevelType w:val="hybridMultilevel"/>
    <w:tmpl w:val="6D18D13C"/>
    <w:lvl w:ilvl="0" w:tplc="7B5AAC7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72F4739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B744342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00B22A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9FC48CF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3DB49F8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DF9602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645ED18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19DAFE3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7">
    <w:nsid w:val="39604B99"/>
    <w:multiLevelType w:val="hybridMultilevel"/>
    <w:tmpl w:val="DE2AA04C"/>
    <w:lvl w:ilvl="0" w:tplc="1EA2A11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89C26F9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C0DC43D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E2903A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55D8D21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9D06769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A70626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FDD8D2D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61C4235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8">
    <w:nsid w:val="42690918"/>
    <w:multiLevelType w:val="hybridMultilevel"/>
    <w:tmpl w:val="38A69FE6"/>
    <w:lvl w:ilvl="0" w:tplc="CFC8E1A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7AA0B5E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F48A16D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7772B8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F958728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02F274B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2C4CB2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3860081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C46AB3D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9">
    <w:nsid w:val="4A902F94"/>
    <w:multiLevelType w:val="hybridMultilevel"/>
    <w:tmpl w:val="E83847CA"/>
    <w:lvl w:ilvl="0" w:tplc="891677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C116DA3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785E0E3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96F489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2A0A0FE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1DEA161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AC16550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2002572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EA5ED89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10">
    <w:nsid w:val="64BA0941"/>
    <w:multiLevelType w:val="hybridMultilevel"/>
    <w:tmpl w:val="416C1848"/>
    <w:lvl w:ilvl="0" w:tplc="DC24E5E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4708713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EF74D07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5832E6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B36232A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890E595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7370E9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E4DC5E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C17E8FA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abstractNum w:abstractNumId="11">
    <w:nsid w:val="7AF00D9E"/>
    <w:multiLevelType w:val="hybridMultilevel"/>
    <w:tmpl w:val="2F0097EA"/>
    <w:lvl w:ilvl="0" w:tplc="4FDCFD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15191E"/>
        <w:sz w:val="24"/>
      </w:rPr>
    </w:lvl>
    <w:lvl w:ilvl="1" w:tplc="CD4ECEB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15191E"/>
        <w:sz w:val="24"/>
      </w:rPr>
    </w:lvl>
    <w:lvl w:ilvl="2" w:tplc="364695D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15191E"/>
        <w:sz w:val="24"/>
      </w:rPr>
    </w:lvl>
    <w:lvl w:ilvl="3" w:tplc="FC68C5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15191E"/>
        <w:sz w:val="24"/>
      </w:rPr>
    </w:lvl>
    <w:lvl w:ilvl="4" w:tplc="F90E592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15191E"/>
        <w:sz w:val="24"/>
      </w:rPr>
    </w:lvl>
    <w:lvl w:ilvl="5" w:tplc="B73ABC5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15191E"/>
        <w:sz w:val="24"/>
      </w:rPr>
    </w:lvl>
    <w:lvl w:ilvl="6" w:tplc="530AFE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15191E"/>
        <w:sz w:val="24"/>
      </w:rPr>
    </w:lvl>
    <w:lvl w:ilvl="7" w:tplc="81F2A0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15191E"/>
        <w:sz w:val="24"/>
      </w:rPr>
    </w:lvl>
    <w:lvl w:ilvl="8" w:tplc="FC2E347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15191E"/>
        <w:sz w:val="24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21"/>
    <w:rsid w:val="000308A3"/>
    <w:rsid w:val="005C22C5"/>
    <w:rsid w:val="00681427"/>
    <w:rsid w:val="007003C5"/>
    <w:rsid w:val="00A12621"/>
    <w:rsid w:val="00A17140"/>
    <w:rsid w:val="00C43320"/>
    <w:rsid w:val="00C66737"/>
    <w:rsid w:val="00C94079"/>
    <w:rsid w:val="00EA0709"/>
    <w:rsid w:val="00F5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6</cp:revision>
  <dcterms:created xsi:type="dcterms:W3CDTF">2023-08-29T08:17:00Z</dcterms:created>
  <dcterms:modified xsi:type="dcterms:W3CDTF">2023-08-29T12:59:00Z</dcterms:modified>
</cp:coreProperties>
</file>